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 xml:space="preserve"> </w:t>
      </w:r>
      <w:r>
        <w:rPr>
          <w:rFonts w:hint="default" w:ascii="Times New Roman" w:hAnsi="Times New Roman" w:eastAsia="方正小标宋_GBK" w:cs="Times New Roman"/>
          <w:color w:val="auto"/>
          <w:sz w:val="44"/>
          <w:szCs w:val="44"/>
          <w:highlight w:val="none"/>
          <w:lang w:val="en-US" w:eastAsia="zh-CN"/>
        </w:rPr>
        <w:t>天河区支持</w:t>
      </w:r>
      <w:r>
        <w:rPr>
          <w:rFonts w:hint="eastAsia" w:ascii="Times New Roman" w:hAnsi="Times New Roman" w:eastAsia="方正小标宋_GBK" w:cs="Times New Roman"/>
          <w:color w:val="auto"/>
          <w:sz w:val="44"/>
          <w:szCs w:val="44"/>
          <w:highlight w:val="none"/>
          <w:lang w:val="en-US" w:eastAsia="zh-CN"/>
        </w:rPr>
        <w:t>现代商贸业重点企业落户项目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一、申报对象及支持条件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u w:val="none"/>
          <w:shd w:val="clear" w:fill="FFFFFF"/>
          <w:lang w:val="en-US" w:eastAsia="zh-CN"/>
        </w:rPr>
        <w:t>1.</w:t>
      </w:r>
      <w:r>
        <w:rPr>
          <w:rFonts w:hint="default" w:ascii="Times New Roman" w:hAnsi="Times New Roman" w:eastAsia="仿宋_GB2312" w:cs="Times New Roman"/>
          <w:color w:val="auto"/>
          <w:sz w:val="32"/>
          <w:szCs w:val="32"/>
          <w:highlight w:val="none"/>
          <w:u w:val="none"/>
          <w:shd w:val="clear" w:fill="FFFFFF"/>
          <w:lang w:eastAsia="zh-CN"/>
        </w:rPr>
        <w:t>注册地在天河区，</w:t>
      </w:r>
      <w:r>
        <w:rPr>
          <w:rFonts w:hint="default" w:ascii="Times New Roman" w:hAnsi="Times New Roman" w:eastAsia="仿宋_GB2312" w:cs="Times New Roman"/>
          <w:color w:val="auto"/>
          <w:kern w:val="0"/>
          <w:sz w:val="32"/>
          <w:szCs w:val="32"/>
          <w:highlight w:val="none"/>
          <w:lang w:val="en-US" w:eastAsia="zh-CN"/>
        </w:rPr>
        <w:t>具有独立法人资格</w:t>
      </w:r>
      <w:r>
        <w:rPr>
          <w:rFonts w:hint="eastAsia" w:ascii="Times New Roman" w:hAnsi="Times New Roman" w:eastAsia="仿宋_GB2312" w:cs="Times New Roman"/>
          <w:color w:val="auto"/>
          <w:kern w:val="0"/>
          <w:sz w:val="32"/>
          <w:szCs w:val="32"/>
          <w:highlight w:val="none"/>
          <w:lang w:val="en-US" w:eastAsia="zh-CN"/>
        </w:rPr>
        <w:t>或视同独立法人资格的商贸企业及商贸载体运营公司</w:t>
      </w:r>
      <w:r>
        <w:rPr>
          <w:rFonts w:hint="default" w:ascii="Times New Roman" w:hAnsi="Times New Roman" w:eastAsia="仿宋_GB2312" w:cs="Times New Roman"/>
          <w:color w:val="auto"/>
          <w:sz w:val="32"/>
          <w:szCs w:val="32"/>
          <w:highlight w:val="none"/>
          <w:u w:val="none"/>
          <w:shd w:val="clear" w:fill="FFFFFF"/>
          <w:lang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楷体" w:hAnsi="楷体" w:eastAsia="楷体" w:cs="楷体"/>
          <w:color w:val="auto"/>
          <w:sz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2.商贸企业自落户之日起、商贸载体自正式开业运营之日起、产业活动单位转法人之日起，首次申报时间不得超过两个完整的会计年度。</w:t>
      </w:r>
      <w:r>
        <w:rPr>
          <w:rFonts w:hint="eastAsia" w:ascii="楷体" w:hAnsi="楷体" w:eastAsia="楷体" w:cs="楷体"/>
          <w:color w:val="auto"/>
          <w:sz w:val="32"/>
          <w:highlight w:val="none"/>
          <w:lang w:val="en-US" w:eastAsia="zh-CN"/>
        </w:rPr>
        <w:t>（备注：如2022年首次申报的企业，在天河区落户的时间不能早于2020年1月1日）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3.</w:t>
      </w:r>
      <w:r>
        <w:rPr>
          <w:rFonts w:hint="eastAsia" w:ascii="Times New Roman" w:hAnsi="Times New Roman" w:eastAsia="仿宋_GB2312" w:cs="Times New Roman"/>
          <w:color w:val="auto"/>
          <w:kern w:val="0"/>
          <w:sz w:val="32"/>
          <w:szCs w:val="32"/>
          <w:highlight w:val="none"/>
          <w:lang w:val="en-US" w:eastAsia="zh-CN"/>
        </w:rPr>
        <w:t>支持条件</w:t>
      </w:r>
    </w:p>
    <w:p>
      <w:pPr>
        <w:keepNext w:val="0"/>
        <w:keepLines w:val="0"/>
        <w:pageBreakBefore w:val="0"/>
        <w:numPr>
          <w:ilvl w:val="0"/>
          <w:numId w:val="0"/>
        </w:numPr>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（1）</w:t>
      </w:r>
      <w:r>
        <w:rPr>
          <w:rFonts w:hint="default" w:ascii="Times New Roman" w:hAnsi="Times New Roman" w:eastAsia="仿宋_GB2312" w:cs="Times New Roman"/>
          <w:color w:val="auto"/>
          <w:sz w:val="32"/>
          <w:highlight w:val="none"/>
          <w:lang w:val="en-US" w:eastAsia="zh-CN"/>
        </w:rPr>
        <w:t>新落户</w:t>
      </w:r>
      <w:r>
        <w:rPr>
          <w:rFonts w:hint="eastAsia" w:ascii="Times New Roman" w:hAnsi="Times New Roman" w:eastAsia="仿宋_GB2312" w:cs="Times New Roman"/>
          <w:color w:val="auto"/>
          <w:sz w:val="32"/>
          <w:highlight w:val="none"/>
          <w:lang w:val="en-US" w:eastAsia="zh-CN"/>
        </w:rPr>
        <w:t>且</w:t>
      </w:r>
      <w:r>
        <w:rPr>
          <w:rFonts w:hint="default" w:ascii="Times New Roman" w:hAnsi="Times New Roman" w:eastAsia="仿宋_GB2312" w:cs="Times New Roman"/>
          <w:color w:val="auto"/>
          <w:sz w:val="32"/>
          <w:highlight w:val="none"/>
          <w:lang w:val="en-US" w:eastAsia="zh-CN"/>
        </w:rPr>
        <w:t>落户后第一个完整会计年度销售额</w:t>
      </w:r>
      <w:r>
        <w:rPr>
          <w:rFonts w:hint="eastAsia" w:ascii="Times New Roman" w:hAnsi="Times New Roman" w:eastAsia="仿宋_GB2312" w:cs="Times New Roman"/>
          <w:color w:val="auto"/>
          <w:sz w:val="32"/>
          <w:highlight w:val="none"/>
          <w:lang w:val="en-US" w:eastAsia="zh-CN"/>
        </w:rPr>
        <w:t>达到</w:t>
      </w:r>
      <w:r>
        <w:rPr>
          <w:rFonts w:hint="default" w:ascii="Times New Roman" w:hAnsi="Times New Roman" w:eastAsia="仿宋_GB2312" w:cs="Times New Roman"/>
          <w:color w:val="auto"/>
          <w:sz w:val="32"/>
          <w:highlight w:val="none"/>
          <w:lang w:val="en-US" w:eastAsia="zh-CN"/>
        </w:rPr>
        <w:t>5亿元且增长5%以上</w:t>
      </w:r>
      <w:r>
        <w:rPr>
          <w:rFonts w:hint="eastAsia" w:ascii="Times New Roman" w:hAnsi="Times New Roman" w:eastAsia="仿宋_GB2312" w:cs="Times New Roman"/>
          <w:color w:val="auto"/>
          <w:sz w:val="32"/>
          <w:highlight w:val="none"/>
          <w:lang w:val="en-US" w:eastAsia="zh-CN"/>
        </w:rPr>
        <w:t>的批发业企业</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销售额达到</w:t>
      </w:r>
      <w:r>
        <w:rPr>
          <w:rFonts w:hint="default" w:ascii="Times New Roman" w:hAnsi="Times New Roman" w:eastAsia="仿宋_GB2312" w:cs="Times New Roman"/>
          <w:color w:val="auto"/>
          <w:sz w:val="32"/>
          <w:highlight w:val="none"/>
          <w:lang w:val="en-US" w:eastAsia="zh-CN"/>
        </w:rPr>
        <w:t>1亿元且增长5%以上</w:t>
      </w:r>
      <w:r>
        <w:rPr>
          <w:rFonts w:hint="eastAsia" w:ascii="Times New Roman" w:hAnsi="Times New Roman" w:eastAsia="仿宋_GB2312" w:cs="Times New Roman"/>
          <w:color w:val="auto"/>
          <w:sz w:val="32"/>
          <w:highlight w:val="none"/>
          <w:lang w:val="en-US" w:eastAsia="zh-CN"/>
        </w:rPr>
        <w:t>的零售业企业</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营业额达到</w:t>
      </w:r>
      <w:r>
        <w:rPr>
          <w:rFonts w:hint="default" w:ascii="Times New Roman" w:hAnsi="Times New Roman" w:eastAsia="仿宋_GB2312" w:cs="Times New Roman"/>
          <w:color w:val="auto"/>
          <w:sz w:val="32"/>
          <w:highlight w:val="none"/>
          <w:lang w:val="en-US" w:eastAsia="zh-CN"/>
        </w:rPr>
        <w:t>2000万元且增长5%以上</w:t>
      </w:r>
      <w:r>
        <w:rPr>
          <w:rFonts w:hint="eastAsia" w:ascii="Times New Roman" w:hAnsi="Times New Roman" w:eastAsia="仿宋_GB2312" w:cs="Times New Roman"/>
          <w:color w:val="auto"/>
          <w:sz w:val="32"/>
          <w:highlight w:val="none"/>
          <w:lang w:val="en-US" w:eastAsia="zh-CN"/>
        </w:rPr>
        <w:t>的住宿餐饮业企业</w:t>
      </w:r>
      <w:r>
        <w:rPr>
          <w:rFonts w:hint="default" w:ascii="Times New Roman" w:hAnsi="Times New Roman" w:eastAsia="仿宋_GB2312" w:cs="Times New Roman"/>
          <w:color w:val="auto"/>
          <w:sz w:val="32"/>
          <w:highlight w:val="none"/>
          <w:lang w:val="en-US" w:eastAsia="zh-CN"/>
        </w:rPr>
        <w:t>；</w:t>
      </w:r>
    </w:p>
    <w:p>
      <w:pPr>
        <w:keepNext w:val="0"/>
        <w:keepLines w:val="0"/>
        <w:pageBreakBefore w:val="0"/>
        <w:numPr>
          <w:ilvl w:val="0"/>
          <w:numId w:val="0"/>
        </w:numPr>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注册在天河区</w:t>
      </w:r>
      <w:r>
        <w:rPr>
          <w:rFonts w:hint="eastAsia" w:ascii="Times New Roman" w:hAnsi="Times New Roman" w:eastAsia="仿宋_GB2312" w:cs="Times New Roman"/>
          <w:color w:val="auto"/>
          <w:sz w:val="32"/>
          <w:highlight w:val="none"/>
          <w:lang w:val="en-US" w:eastAsia="zh-CN"/>
        </w:rPr>
        <w:t>且</w:t>
      </w:r>
      <w:r>
        <w:rPr>
          <w:rFonts w:hint="default" w:ascii="Times New Roman" w:hAnsi="Times New Roman" w:eastAsia="仿宋_GB2312" w:cs="Times New Roman"/>
          <w:color w:val="auto"/>
          <w:sz w:val="32"/>
          <w:highlight w:val="none"/>
          <w:lang w:val="en-US" w:eastAsia="zh-CN"/>
        </w:rPr>
        <w:t>转为法人单位后第一个完整会计年度销售额</w:t>
      </w:r>
      <w:r>
        <w:rPr>
          <w:rFonts w:hint="eastAsia" w:ascii="Times New Roman" w:hAnsi="Times New Roman" w:eastAsia="仿宋_GB2312" w:cs="Times New Roman"/>
          <w:color w:val="auto"/>
          <w:sz w:val="32"/>
          <w:highlight w:val="none"/>
          <w:lang w:val="en-US" w:eastAsia="zh-CN"/>
        </w:rPr>
        <w:t>达</w:t>
      </w:r>
      <w:r>
        <w:rPr>
          <w:rFonts w:hint="default" w:ascii="Times New Roman" w:hAnsi="Times New Roman" w:eastAsia="仿宋_GB2312" w:cs="Times New Roman"/>
          <w:color w:val="auto"/>
          <w:sz w:val="32"/>
          <w:highlight w:val="none"/>
          <w:lang w:val="en-US" w:eastAsia="zh-CN"/>
        </w:rPr>
        <w:t>10亿元</w:t>
      </w:r>
      <w:r>
        <w:rPr>
          <w:rFonts w:hint="eastAsia" w:ascii="Times New Roman" w:hAnsi="Times New Roman" w:eastAsia="仿宋_GB2312" w:cs="Times New Roman"/>
          <w:color w:val="auto"/>
          <w:sz w:val="32"/>
          <w:highlight w:val="none"/>
          <w:lang w:val="en-US" w:eastAsia="zh-CN"/>
        </w:rPr>
        <w:t>及以上</w:t>
      </w:r>
      <w:r>
        <w:rPr>
          <w:rFonts w:hint="default" w:ascii="Times New Roman" w:hAnsi="Times New Roman" w:eastAsia="仿宋_GB2312" w:cs="Times New Roman"/>
          <w:color w:val="auto"/>
          <w:sz w:val="32"/>
          <w:highlight w:val="none"/>
          <w:lang w:val="en-US" w:eastAsia="zh-CN"/>
        </w:rPr>
        <w:t>的批发业产业活动单位</w:t>
      </w:r>
      <w:r>
        <w:rPr>
          <w:rFonts w:hint="eastAsia" w:ascii="Times New Roman" w:hAnsi="Times New Roman" w:eastAsia="仿宋_GB2312" w:cs="Times New Roman"/>
          <w:color w:val="auto"/>
          <w:sz w:val="32"/>
          <w:highlight w:val="none"/>
          <w:lang w:val="en-US" w:eastAsia="zh-CN"/>
        </w:rPr>
        <w:t>、销售额达</w:t>
      </w:r>
      <w:r>
        <w:rPr>
          <w:rFonts w:hint="default" w:ascii="Times New Roman" w:hAnsi="Times New Roman" w:eastAsia="仿宋_GB2312" w:cs="Times New Roman"/>
          <w:color w:val="auto"/>
          <w:sz w:val="32"/>
          <w:highlight w:val="none"/>
          <w:lang w:val="en-US" w:eastAsia="zh-CN"/>
        </w:rPr>
        <w:t>1亿元</w:t>
      </w:r>
      <w:r>
        <w:rPr>
          <w:rFonts w:hint="eastAsia" w:ascii="Times New Roman" w:hAnsi="Times New Roman" w:eastAsia="仿宋_GB2312" w:cs="Times New Roman"/>
          <w:color w:val="auto"/>
          <w:sz w:val="32"/>
          <w:highlight w:val="none"/>
          <w:lang w:val="en-US" w:eastAsia="zh-CN"/>
        </w:rPr>
        <w:t>及以上的</w:t>
      </w:r>
      <w:r>
        <w:rPr>
          <w:rFonts w:hint="default" w:ascii="Times New Roman" w:hAnsi="Times New Roman" w:eastAsia="仿宋_GB2312" w:cs="Times New Roman"/>
          <w:color w:val="auto"/>
          <w:sz w:val="32"/>
          <w:highlight w:val="none"/>
          <w:lang w:val="en-US" w:eastAsia="zh-CN"/>
        </w:rPr>
        <w:t>零售业</w:t>
      </w:r>
      <w:r>
        <w:rPr>
          <w:rFonts w:hint="eastAsia" w:ascii="Times New Roman" w:hAnsi="Times New Roman" w:eastAsia="仿宋_GB2312" w:cs="Times New Roman"/>
          <w:color w:val="auto"/>
          <w:sz w:val="32"/>
          <w:highlight w:val="none"/>
          <w:lang w:val="en-US" w:eastAsia="zh-CN"/>
        </w:rPr>
        <w:t>产业活动单位</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营业额达</w:t>
      </w:r>
      <w:r>
        <w:rPr>
          <w:rFonts w:hint="default" w:ascii="Times New Roman" w:hAnsi="Times New Roman" w:eastAsia="仿宋_GB2312" w:cs="Times New Roman"/>
          <w:color w:val="auto"/>
          <w:sz w:val="32"/>
          <w:highlight w:val="none"/>
          <w:lang w:val="en-US" w:eastAsia="zh-CN"/>
        </w:rPr>
        <w:t>2000万元</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住宿餐饮业</w:t>
      </w:r>
      <w:r>
        <w:rPr>
          <w:rFonts w:hint="eastAsia" w:ascii="Times New Roman" w:hAnsi="Times New Roman" w:eastAsia="仿宋_GB2312" w:cs="Times New Roman"/>
          <w:color w:val="auto"/>
          <w:sz w:val="32"/>
          <w:highlight w:val="none"/>
          <w:lang w:val="en-US" w:eastAsia="zh-CN"/>
        </w:rPr>
        <w:t>产业活动单位</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color w:val="auto"/>
          <w:kern w:val="0"/>
          <w:sz w:val="32"/>
          <w:szCs w:val="24"/>
          <w:highlight w:val="none"/>
          <w:lang w:val="en-US" w:eastAsia="zh-CN"/>
        </w:rPr>
      </w:pPr>
      <w:r>
        <w:rPr>
          <w:rFonts w:hint="eastAsia"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lang w:val="en-US" w:eastAsia="zh-CN"/>
        </w:rPr>
        <w:t>新落户的大型商业综合体，商业面积达5万平方米</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以上，且开业后正常运营一年</w:t>
      </w:r>
      <w:r>
        <w:rPr>
          <w:rFonts w:hint="default" w:ascii="Times New Roman" w:hAnsi="Times New Roman" w:eastAsia="仿宋_GB2312" w:cs="Times New Roman"/>
          <w:color w:val="auto"/>
          <w:sz w:val="32"/>
          <w:szCs w:val="24"/>
          <w:highlight w:val="none"/>
          <w:u w:val="none"/>
          <w:shd w:val="clear" w:fill="auto"/>
        </w:rPr>
        <w:t>。</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4.本项资金</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的企业要求统计关系及税务</w:t>
      </w:r>
      <w:r>
        <w:rPr>
          <w:rFonts w:hint="eastAsia" w:ascii="Times New Roman" w:hAnsi="Times New Roman" w:eastAsia="仿宋_GB2312" w:cs="Times New Roman"/>
          <w:color w:val="auto"/>
          <w:kern w:val="0"/>
          <w:sz w:val="32"/>
          <w:szCs w:val="32"/>
          <w:highlight w:val="none"/>
          <w:lang w:val="en-US" w:eastAsia="zh-CN"/>
        </w:rPr>
        <w:t>登记地</w:t>
      </w:r>
      <w:r>
        <w:rPr>
          <w:rFonts w:hint="default" w:ascii="Times New Roman" w:hAnsi="Times New Roman" w:eastAsia="仿宋_GB2312" w:cs="Times New Roman"/>
          <w:color w:val="auto"/>
          <w:kern w:val="0"/>
          <w:sz w:val="32"/>
          <w:szCs w:val="32"/>
          <w:highlight w:val="none"/>
          <w:lang w:val="en-US" w:eastAsia="zh-CN"/>
        </w:rPr>
        <w:t>在天河区，履行统计数据申报义务、守法经营、诚实守信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eastAsia" w:ascii="Times New Roman" w:hAnsi="Times New Roman" w:eastAsia="仿宋_GB2312" w:cs="Times New Roman"/>
          <w:color w:val="auto"/>
          <w:sz w:val="32"/>
          <w:szCs w:val="32"/>
          <w:highlight w:val="none"/>
          <w:lang w:val="en-US" w:eastAsia="zh-CN"/>
        </w:rPr>
        <w:t>。上述商贸载体运营公司的注册地和经营地均在天河区。</w:t>
      </w:r>
    </w:p>
    <w:p>
      <w:pPr>
        <w:keepNext w:val="0"/>
        <w:keepLines w:val="0"/>
        <w:pageBreakBefore w:val="0"/>
        <w:kinsoku/>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b/>
          <w:bCs/>
          <w:color w:val="000000" w:themeColor="text1"/>
          <w:sz w:val="32"/>
          <w:szCs w:val="32"/>
          <w:highlight w:val="none"/>
          <w14:textFill>
            <w14:solidFill>
              <w14:schemeClr w14:val="tx1"/>
            </w14:solidFill>
          </w14:textFill>
        </w:rPr>
      </w:pP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二、资金支持</w:t>
      </w:r>
    </w:p>
    <w:p>
      <w:pPr>
        <w:keepNext w:val="0"/>
        <w:keepLines w:val="0"/>
        <w:pageBreakBefore w:val="0"/>
        <w:numPr>
          <w:ilvl w:val="0"/>
          <w:numId w:val="0"/>
        </w:numPr>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（一）商贸企业落户奖励</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商贸企业</w:t>
      </w:r>
      <w:r>
        <w:rPr>
          <w:rFonts w:hint="eastAsia" w:ascii="Times New Roman" w:hAnsi="Times New Roman" w:eastAsia="仿宋_GB2312" w:cs="Times New Roman"/>
          <w:color w:val="auto"/>
          <w:sz w:val="32"/>
          <w:highlight w:val="none"/>
          <w:lang w:val="en-US" w:eastAsia="zh-CN"/>
        </w:rPr>
        <w:t>按照</w:t>
      </w:r>
      <w:r>
        <w:rPr>
          <w:rFonts w:hint="default" w:ascii="Times New Roman" w:hAnsi="Times New Roman" w:eastAsia="仿宋_GB2312" w:cs="Times New Roman"/>
          <w:color w:val="auto"/>
          <w:sz w:val="32"/>
          <w:highlight w:val="none"/>
          <w:lang w:val="en-US" w:eastAsia="zh-CN"/>
        </w:rPr>
        <w:t>企业</w:t>
      </w:r>
      <w:r>
        <w:rPr>
          <w:rFonts w:hint="eastAsia" w:ascii="Times New Roman" w:hAnsi="Times New Roman" w:eastAsia="仿宋_GB2312" w:cs="Times New Roman"/>
          <w:color w:val="auto"/>
          <w:sz w:val="32"/>
          <w:highlight w:val="none"/>
          <w:lang w:val="en-US" w:eastAsia="zh-CN"/>
        </w:rPr>
        <w:t>落户后</w:t>
      </w:r>
      <w:r>
        <w:rPr>
          <w:rFonts w:hint="default" w:ascii="Times New Roman" w:hAnsi="Times New Roman" w:eastAsia="仿宋_GB2312" w:cs="Times New Roman"/>
          <w:color w:val="auto"/>
          <w:sz w:val="32"/>
          <w:highlight w:val="none"/>
          <w:lang w:val="en-US" w:eastAsia="zh-CN"/>
        </w:rPr>
        <w:t>第一、二、三个完整会计年度</w:t>
      </w:r>
      <w:r>
        <w:rPr>
          <w:rFonts w:hint="eastAsia" w:ascii="Times New Roman" w:hAnsi="Times New Roman" w:eastAsia="仿宋_GB2312" w:cs="Times New Roman"/>
          <w:color w:val="auto"/>
          <w:sz w:val="32"/>
          <w:highlight w:val="none"/>
          <w:lang w:val="en-US" w:eastAsia="zh-CN"/>
        </w:rPr>
        <w:t>分别给予对应年度</w:t>
      </w:r>
      <w:r>
        <w:rPr>
          <w:rFonts w:hint="default" w:ascii="Times New Roman" w:hAnsi="Times New Roman" w:eastAsia="仿宋_GB2312" w:cs="Times New Roman"/>
          <w:color w:val="auto"/>
          <w:sz w:val="32"/>
          <w:highlight w:val="none"/>
          <w:lang w:val="en-US" w:eastAsia="zh-CN"/>
        </w:rPr>
        <w:t>对区经济贡献</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80%、60%、50%</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奖励，</w:t>
      </w:r>
      <w:r>
        <w:rPr>
          <w:rFonts w:hint="eastAsia" w:ascii="Times New Roman" w:hAnsi="Times New Roman" w:eastAsia="仿宋_GB2312" w:cs="Times New Roman"/>
          <w:color w:val="auto"/>
          <w:sz w:val="32"/>
          <w:highlight w:val="none"/>
          <w:lang w:val="en-US" w:eastAsia="zh-CN"/>
        </w:rPr>
        <w:t>每家企业</w:t>
      </w:r>
      <w:r>
        <w:rPr>
          <w:rFonts w:hint="default" w:ascii="Times New Roman" w:hAnsi="Times New Roman" w:eastAsia="仿宋_GB2312" w:cs="Times New Roman"/>
          <w:color w:val="auto"/>
          <w:sz w:val="32"/>
          <w:highlight w:val="none"/>
          <w:lang w:val="en-US" w:eastAsia="zh-CN"/>
        </w:rPr>
        <w:t>三年累计不超过3000万元。</w:t>
      </w:r>
    </w:p>
    <w:p>
      <w:pPr>
        <w:pStyle w:val="5"/>
        <w:keepNext w:val="0"/>
        <w:keepLines w:val="0"/>
        <w:widowControl/>
        <w:suppressLineNumbers w:val="0"/>
        <w:ind w:left="0" w:firstLine="640" w:firstLineChars="200"/>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（二）</w:t>
      </w:r>
      <w:r>
        <w:rPr>
          <w:rFonts w:ascii="仿宋_GB2312" w:eastAsia="仿宋_GB2312" w:cs="仿宋_GB2312"/>
          <w:sz w:val="32"/>
          <w:szCs w:val="32"/>
        </w:rPr>
        <w:t>产业活动单位转法人奖励</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产业活动单位转为法人单位后第一个完整会计年度给予经济发展贡献100%的奖励，第二、三个完整会计年度分别给予对应年度区经济发展贡献增量的100%资金奖励，每家企业三年累计不超过1000万元。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（三）商贸载体落户奖励</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新落户的大型商业综合体，</w:t>
      </w:r>
      <w:r>
        <w:rPr>
          <w:rFonts w:hint="default" w:ascii="Times New Roman" w:hAnsi="Times New Roman" w:eastAsia="仿宋_GB2312" w:cs="Times New Roman"/>
          <w:color w:val="auto"/>
          <w:sz w:val="32"/>
          <w:highlight w:val="none"/>
          <w:lang w:val="en-US" w:eastAsia="zh-CN"/>
        </w:rPr>
        <w:t>商业面积为5万平方米（含）—10万平方米、10万平方米（含）—20万平方米、20万平方米及以上，分别给予商业综合体运营管理公司一次性50万元、100万元、200万元的支持。其中，实现财务统一结算的大型商业综合体，奖励金额在原有基础上增加50%的支持（最高奖励金额为300万元）。</w:t>
      </w:r>
    </w:p>
    <w:p>
      <w:pPr>
        <w:pStyle w:val="5"/>
        <w:keepNext w:val="0"/>
        <w:keepLines w:val="0"/>
        <w:pageBreakBefore w:val="0"/>
        <w:widowControl/>
        <w:kinsoku/>
        <w:overflowPunct/>
        <w:topLinePunct w:val="0"/>
        <w:autoSpaceDE/>
        <w:autoSpaceDN/>
        <w:bidi w:val="0"/>
        <w:adjustRightInd/>
        <w:spacing w:after="0" w:line="560" w:lineRule="exact"/>
        <w:ind w:right="0" w:firstLine="640" w:firstLineChars="200"/>
        <w:textAlignment w:val="auto"/>
        <w:rPr>
          <w:rFonts w:hint="default" w:ascii="Times New Roman" w:hAnsi="Times New Roman" w:eastAsia="楷体" w:cs="Times New Roman"/>
          <w:i w:val="0"/>
          <w:caps w:val="0"/>
          <w:color w:val="auto"/>
          <w:spacing w:val="0"/>
          <w:sz w:val="32"/>
          <w:szCs w:val="32"/>
          <w:highlight w:val="none"/>
          <w:shd w:val="clear" w:fill="FFFFFF"/>
          <w:lang w:eastAsia="zh-CN"/>
        </w:rPr>
      </w:pPr>
      <w:r>
        <w:rPr>
          <w:rFonts w:hint="default" w:ascii="Times New Roman" w:hAnsi="Times New Roman" w:eastAsia="仿宋_GB2312" w:cs="Times New Roman"/>
          <w:color w:val="auto"/>
          <w:sz w:val="32"/>
          <w:szCs w:val="32"/>
          <w:highlight w:val="none"/>
          <w:u w:val="none"/>
          <w:shd w:val="clear" w:fill="FFFFFF"/>
          <w:lang w:eastAsia="zh-CN"/>
        </w:rPr>
        <w:t>以上条款标准中涉及的</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rPr>
        <w:t>第一个完整会计年度</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lang w:eastAsia="zh-CN"/>
        </w:rPr>
        <w:t>是指企业落户后</w:t>
      </w:r>
      <w:r>
        <w:rPr>
          <w:rFonts w:hint="default" w:ascii="Times New Roman" w:hAnsi="Times New Roman" w:eastAsia="仿宋_GB2312" w:cs="Times New Roman"/>
          <w:color w:val="auto"/>
          <w:sz w:val="32"/>
          <w:szCs w:val="32"/>
          <w:highlight w:val="none"/>
          <w:u w:val="none"/>
          <w:shd w:val="clear" w:fill="FFFFFF"/>
          <w:lang w:val="en-US" w:eastAsia="zh-CN"/>
        </w:rPr>
        <w:t>第二年的1-12月</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lang w:eastAsia="zh-CN"/>
        </w:rPr>
        <w:t>涉及的</w:t>
      </w:r>
      <w:r>
        <w:rPr>
          <w:rFonts w:hint="eastAsia" w:ascii="Times New Roman" w:hAnsi="Times New Roman" w:eastAsia="仿宋_GB2312" w:cs="Times New Roman"/>
          <w:color w:val="auto"/>
          <w:sz w:val="32"/>
          <w:szCs w:val="32"/>
          <w:highlight w:val="none"/>
          <w:u w:val="none"/>
          <w:shd w:val="clear" w:fill="FFFFFF"/>
          <w:lang w:val="en-US" w:eastAsia="zh-CN"/>
        </w:rPr>
        <w:t>“销售额”和“营业额”以上报统计部门的12月统计报表数为准。</w:t>
      </w:r>
      <w:r>
        <w:rPr>
          <w:rFonts w:hint="default" w:ascii="Times New Roman" w:hAnsi="Times New Roman" w:eastAsia="仿宋_GB2312" w:cs="Times New Roman"/>
          <w:color w:val="auto"/>
          <w:sz w:val="32"/>
          <w:szCs w:val="32"/>
          <w:highlight w:val="none"/>
          <w:u w:val="none"/>
          <w:shd w:val="clear" w:fill="FFFFFF"/>
          <w:lang w:val="en-US" w:eastAsia="zh-CN"/>
        </w:rPr>
        <w:t>三项奖励政策按从高不重复进行奖励</w:t>
      </w:r>
      <w:r>
        <w:rPr>
          <w:rFonts w:hint="default" w:ascii="Times New Roman" w:hAnsi="Times New Roman" w:eastAsia="仿宋_GB2312" w:cs="Times New Roman"/>
          <w:color w:val="auto"/>
          <w:kern w:val="2"/>
          <w:sz w:val="32"/>
          <w:szCs w:val="24"/>
          <w:highlight w:val="none"/>
          <w:u w:val="none"/>
          <w:shd w:val="clear" w:fill="auto"/>
          <w:lang w:bidi="ar-SA"/>
        </w:rPr>
        <w:t>。</w:t>
      </w:r>
    </w:p>
    <w:p>
      <w:pPr>
        <w:pStyle w:val="5"/>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楷体" w:cs="Times New Roman"/>
          <w:i w:val="0"/>
          <w:caps w:val="0"/>
          <w:color w:val="auto"/>
          <w:spacing w:val="0"/>
          <w:sz w:val="32"/>
          <w:szCs w:val="32"/>
          <w:highlight w:val="none"/>
          <w:shd w:val="clear" w:fill="FFFFFF"/>
          <w:lang w:eastAsia="zh-CN"/>
        </w:rPr>
        <w:t>上述政策</w:t>
      </w:r>
      <w:r>
        <w:rPr>
          <w:rFonts w:hint="default" w:ascii="Times New Roman" w:hAnsi="Times New Roman" w:eastAsia="楷体" w:cs="Times New Roman"/>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黑体" w:cs="Times New Roman"/>
          <w:color w:val="auto"/>
          <w:sz w:val="32"/>
          <w:highlight w:val="none"/>
          <w:lang w:val="en-US" w:eastAsia="zh-CN"/>
        </w:rPr>
        <w:t>三</w:t>
      </w:r>
      <w:r>
        <w:rPr>
          <w:rFonts w:hint="default" w:ascii="Times New Roman" w:hAnsi="Times New Roman" w:eastAsia="黑体" w:cs="Times New Roman"/>
          <w:color w:val="auto"/>
          <w:sz w:val="32"/>
          <w:highlight w:val="none"/>
          <w:lang w:val="en-US" w:eastAsia="zh-CN"/>
        </w:rPr>
        <w:t>、办理流程及流程图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收到申请材料之日起在</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w:t>
      </w:r>
      <w:r>
        <w:rPr>
          <w:rFonts w:hint="eastAsia" w:ascii="Times New Roman" w:hAnsi="Times New Roman" w:eastAsia="仿宋_GB2312" w:cs="Times New Roman"/>
          <w:color w:val="auto"/>
          <w:sz w:val="32"/>
          <w:highlight w:val="none"/>
          <w:lang w:val="en-US" w:eastAsia="zh-CN"/>
        </w:rPr>
        <w:t>审核与公示</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在申报截止后</w:t>
      </w:r>
      <w:r>
        <w:rPr>
          <w:rFonts w:hint="eastAsia" w:ascii="Times New Roman" w:hAnsi="Times New Roman" w:eastAsia="仿宋_GB2312" w:cs="Times New Roman"/>
          <w:color w:val="auto"/>
          <w:sz w:val="32"/>
          <w:highlight w:val="none"/>
          <w:lang w:val="en-US" w:eastAsia="zh-CN"/>
        </w:rPr>
        <w:t>20</w:t>
      </w:r>
      <w:r>
        <w:rPr>
          <w:rFonts w:hint="default" w:ascii="Times New Roman" w:hAnsi="Times New Roman" w:eastAsia="仿宋_GB2312" w:cs="Times New Roman"/>
          <w:color w:val="auto"/>
          <w:sz w:val="32"/>
          <w:highlight w:val="none"/>
          <w:lang w:val="en-US" w:eastAsia="zh-CN"/>
        </w:rPr>
        <w:t>个工作日内做出审核决定，形成项目支持方案</w:t>
      </w:r>
      <w:r>
        <w:rPr>
          <w:rFonts w:hint="eastAsia" w:ascii="Times New Roman" w:hAnsi="Times New Roman" w:eastAsia="仿宋_GB2312" w:cs="Times New Roman"/>
          <w:color w:val="auto"/>
          <w:sz w:val="32"/>
          <w:highlight w:val="none"/>
          <w:lang w:val="en-US" w:eastAsia="zh-CN"/>
        </w:rPr>
        <w:t>，并</w:t>
      </w:r>
      <w:r>
        <w:rPr>
          <w:rFonts w:hint="default" w:ascii="Times New Roman" w:hAnsi="Times New Roman" w:eastAsia="仿宋_GB2312" w:cs="Times New Roman"/>
          <w:color w:val="auto"/>
          <w:sz w:val="32"/>
          <w:szCs w:val="32"/>
          <w:highlight w:val="none"/>
        </w:rPr>
        <w:t>向社会公示</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个工作日</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szCs w:val="32"/>
        </w:rPr>
        <w:t>公示名单中的拟获奖企业需在公示期间向</w:t>
      </w:r>
      <w:r>
        <w:rPr>
          <w:rFonts w:hint="eastAsia" w:ascii="Times New Roman" w:hAnsi="Times New Roman" w:eastAsia="仿宋_GB2312" w:cs="Times New Roman"/>
          <w:color w:val="auto"/>
          <w:sz w:val="32"/>
          <w:szCs w:val="32"/>
          <w:lang w:eastAsia="zh-CN"/>
        </w:rPr>
        <w:t>区商务金融局</w:t>
      </w:r>
      <w:r>
        <w:rPr>
          <w:rFonts w:hint="eastAsia" w:ascii="Times New Roman" w:hAnsi="Times New Roman" w:eastAsia="仿宋_GB2312" w:cs="Times New Roman"/>
          <w:color w:val="auto"/>
          <w:sz w:val="32"/>
          <w:szCs w:val="32"/>
        </w:rPr>
        <w:t>提交纸质申请材料</w:t>
      </w:r>
      <w:r>
        <w:rPr>
          <w:rFonts w:hint="eastAsia" w:ascii="Times New Roman" w:hAnsi="Times New Roman" w:eastAsia="仿宋_GB2312" w:cs="Times New Roman"/>
          <w:color w:val="auto"/>
          <w:sz w:val="32"/>
          <w:szCs w:val="32"/>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rPr>
          <w:rFonts w:hint="default" w:ascii="Times New Roman" w:hAnsi="Times New Roman" w:eastAsia="仿宋_GB2312" w:cs="Times New Roman"/>
          <w:color w:val="auto"/>
          <w:sz w:val="32"/>
          <w:highlight w:val="none"/>
          <w:lang w:val="en-US" w:eastAsia="zh-CN"/>
        </w:rPr>
        <w:t>4.</w:t>
      </w:r>
      <w:r>
        <w:rPr>
          <w:rFonts w:hint="eastAsia" w:ascii="Times New Roman" w:hAnsi="Times New Roman" w:eastAsia="仿宋_GB2312" w:cs="Times New Roman"/>
          <w:color w:val="auto"/>
          <w:sz w:val="32"/>
          <w:highlight w:val="none"/>
          <w:lang w:val="en-US" w:eastAsia="zh-CN"/>
        </w:rPr>
        <w:t>拨付</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对公示期满，无有效投诉的项目支持方案，</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报送区财政局，公示后</w:t>
      </w:r>
      <w:r>
        <w:rPr>
          <w:rFonts w:hint="eastAsia" w:ascii="Times New Roman" w:hAnsi="Times New Roman" w:eastAsia="仿宋_GB2312" w:cs="Times New Roman"/>
          <w:color w:val="auto"/>
          <w:sz w:val="32"/>
          <w:highlight w:val="none"/>
          <w:lang w:val="en-US" w:eastAsia="zh-CN"/>
        </w:rPr>
        <w:t>一般30</w:t>
      </w:r>
      <w:r>
        <w:rPr>
          <w:rFonts w:hint="default" w:ascii="Times New Roman" w:hAnsi="Times New Roman" w:eastAsia="仿宋_GB2312" w:cs="Times New Roman"/>
          <w:color w:val="auto"/>
          <w:sz w:val="32"/>
          <w:highlight w:val="none"/>
          <w:lang w:val="en-US" w:eastAsia="zh-CN"/>
        </w:rPr>
        <w:t>个工作日内办理完成奖励资金兑现拨付</w:t>
      </w:r>
      <w:r>
        <w:rPr>
          <w:rFonts w:hint="eastAsia" w:ascii="Times New Roman" w:hAnsi="Times New Roman" w:eastAsia="仿宋_GB2312" w:cs="Times New Roman"/>
          <w:color w:val="auto"/>
          <w:sz w:val="32"/>
          <w:highlight w:val="none"/>
          <w:lang w:val="en-US" w:eastAsia="zh-CN"/>
        </w:rPr>
        <w:t>（具体拨付时间视预算资金到位情况确定）</w:t>
      </w:r>
      <w:r>
        <w:rPr>
          <w:rFonts w:hint="default"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420" w:firstLineChars="200"/>
        <w:jc w:val="both"/>
        <w:textAlignment w:val="auto"/>
        <w:rPr>
          <w:rFonts w:hint="default" w:ascii="Times New Roman" w:hAnsi="Times New Roman" w:eastAsia="仿宋_GB2312" w:cs="Times New Roman"/>
          <w:color w:val="auto"/>
          <w:sz w:val="32"/>
          <w:highlight w:val="none"/>
          <w:lang w:val="en-US" w:eastAsia="zh-CN"/>
        </w:rPr>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rPr>
          <w:color w:val="auto"/>
        </w:rPr>
        <w:drawing>
          <wp:anchor distT="0" distB="0" distL="114300" distR="114300" simplePos="0" relativeHeight="251658240" behindDoc="0" locked="0" layoutInCell="1" allowOverlap="1">
            <wp:simplePos x="0" y="0"/>
            <wp:positionH relativeFrom="column">
              <wp:posOffset>-26670</wp:posOffset>
            </wp:positionH>
            <wp:positionV relativeFrom="paragraph">
              <wp:posOffset>99060</wp:posOffset>
            </wp:positionV>
            <wp:extent cx="5447665" cy="7785735"/>
            <wp:effectExtent l="0" t="0" r="635" b="571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447665" cy="778573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黑体" w:cs="Times New Roman"/>
          <w:color w:val="auto"/>
          <w:sz w:val="32"/>
          <w:highlight w:val="none"/>
          <w:lang w:val="en-US" w:eastAsia="zh-CN"/>
        </w:rPr>
        <w:t>四</w:t>
      </w:r>
      <w:r>
        <w:rPr>
          <w:rFonts w:hint="default" w:ascii="Times New Roman" w:hAnsi="Times New Roman" w:eastAsia="黑体" w:cs="Times New Roman"/>
          <w:color w:val="auto"/>
          <w:sz w:val="32"/>
          <w:highlight w:val="none"/>
          <w:lang w:val="en-US" w:eastAsia="zh-CN"/>
        </w:rPr>
        <w:t>、申报材料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原件1份，企业法人签字并加盖公章。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sz w:val="28"/>
                <w:szCs w:val="28"/>
              </w:rPr>
              <w:t>2</w:t>
            </w:r>
          </w:p>
        </w:tc>
        <w:tc>
          <w:tcPr>
            <w:tcW w:w="2419" w:type="dxa"/>
            <w:vAlign w:val="center"/>
          </w:tcPr>
          <w:p>
            <w:pPr>
              <w:spacing w:line="40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sz w:val="28"/>
                <w:szCs w:val="28"/>
              </w:rPr>
              <w:t>企业证照</w:t>
            </w:r>
          </w:p>
        </w:tc>
        <w:tc>
          <w:tcPr>
            <w:tcW w:w="4050" w:type="dxa"/>
            <w:vAlign w:val="center"/>
          </w:tcPr>
          <w:p>
            <w:pPr>
              <w:spacing w:line="400" w:lineRule="exact"/>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sz w:val="28"/>
                <w:szCs w:val="28"/>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企业</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原件1份，公司上一年度</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表（已上报统计部门的</w:t>
            </w:r>
            <w:r>
              <w:rPr>
                <w:rFonts w:hint="eastAsia" w:ascii="仿宋_GB2312" w:hAnsi="仿宋_GB2312" w:eastAsia="仿宋_GB2312" w:cs="仿宋_GB2312"/>
                <w:color w:val="auto"/>
                <w:sz w:val="28"/>
                <w:szCs w:val="28"/>
                <w:highlight w:val="none"/>
                <w:lang w:val="en-US" w:eastAsia="zh-CN"/>
              </w:rPr>
              <w:t>统计</w:t>
            </w:r>
            <w:r>
              <w:rPr>
                <w:rFonts w:hint="eastAsia" w:ascii="仿宋_GB2312" w:hAnsi="仿宋_GB2312" w:eastAsia="仿宋_GB2312" w:cs="仿宋_GB2312"/>
                <w:color w:val="auto"/>
                <w:sz w:val="28"/>
                <w:szCs w:val="28"/>
                <w:highlight w:val="none"/>
                <w:lang w:eastAsia="zh-CN"/>
              </w:rPr>
              <w:t>报表）</w:t>
            </w:r>
            <w:r>
              <w:rPr>
                <w:rFonts w:hint="eastAsia" w:ascii="仿宋_GB2312" w:hAnsi="仿宋_GB2312" w:eastAsia="仿宋_GB2312" w:cs="仿宋_GB2312"/>
                <w:color w:val="auto"/>
                <w:sz w:val="28"/>
                <w:szCs w:val="28"/>
                <w:highlight w:val="none"/>
                <w:lang w:val="en-US" w:eastAsia="zh-CN"/>
              </w:rPr>
              <w:t>，加盖企业公章。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批零住餐企业及有统一结算的商贸载体必须提交，其他商贸载体不用提交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以上材料按照要求在线填写或采用附件形式（彩色扫描）在线提交。</w:t>
            </w:r>
            <w:r>
              <w:rPr>
                <w:rFonts w:hint="eastAsia" w:ascii="仿宋_GB2312" w:hAnsi="仿宋_GB2312" w:eastAsia="仿宋_GB2312" w:cs="仿宋_GB2312"/>
                <w:color w:val="auto"/>
                <w:sz w:val="28"/>
                <w:szCs w:val="28"/>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五</w:t>
      </w: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w:t>
      </w: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申报时间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bookmarkStart w:id="0" w:name="_GoBack"/>
      <w:r>
        <w:rPr>
          <w:rFonts w:hint="default" w:ascii="Times New Roman" w:hAnsi="Times New Roman" w:eastAsia="仿宋_GB2312" w:cs="Times New Roman"/>
          <w:color w:val="auto"/>
          <w:sz w:val="32"/>
          <w:highlight w:val="none"/>
          <w:lang w:val="en-US" w:eastAsia="zh-CN"/>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申报起止时间为：2022年7</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11</w:t>
      </w:r>
      <w:r>
        <w:rPr>
          <w:rFonts w:hint="default" w:ascii="Times New Roman" w:hAnsi="Times New Roman" w:eastAsia="仿宋_GB2312" w:cs="Times New Roman"/>
          <w:color w:val="auto"/>
          <w:sz w:val="32"/>
          <w:highlight w:val="none"/>
          <w:lang w:val="en-US" w:eastAsia="zh-CN"/>
        </w:rPr>
        <w:t>日至202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年</w:t>
      </w:r>
      <w:r>
        <w:rPr>
          <w:rFonts w:hint="eastAsia" w:ascii="Times New Roman" w:hAnsi="Times New Roman" w:eastAsia="仿宋_GB2312" w:cs="Times New Roman"/>
          <w:color w:val="auto"/>
          <w:sz w:val="32"/>
          <w:highlight w:val="none"/>
          <w:lang w:val="en-US" w:eastAsia="zh-CN"/>
        </w:rPr>
        <w:t>22</w:t>
      </w:r>
      <w:r>
        <w:rPr>
          <w:rFonts w:hint="default" w:ascii="Times New Roman" w:hAnsi="Times New Roman" w:eastAsia="仿宋_GB2312" w:cs="Times New Roman"/>
          <w:color w:val="auto"/>
          <w:sz w:val="32"/>
          <w:highlight w:val="none"/>
          <w:lang w:val="en-US" w:eastAsia="zh-CN"/>
        </w:rPr>
        <w:t>月</w:t>
      </w:r>
      <w:r>
        <w:rPr>
          <w:rFonts w:hint="eastAsia" w:ascii="Times New Roman" w:hAnsi="Times New Roman" w:eastAsia="仿宋_GB2312" w:cs="Times New Roman"/>
          <w:color w:val="auto"/>
          <w:sz w:val="32"/>
          <w:highlight w:val="none"/>
          <w:lang w:val="en-US" w:eastAsia="zh-CN"/>
        </w:rPr>
        <w:t xml:space="preserve"> </w:t>
      </w:r>
      <w:r>
        <w:rPr>
          <w:rFonts w:hint="default" w:ascii="Times New Roman" w:hAnsi="Times New Roman" w:eastAsia="仿宋_GB2312" w:cs="Times New Roman"/>
          <w:color w:val="auto"/>
          <w:sz w:val="32"/>
          <w:highlight w:val="none"/>
          <w:lang w:val="en-US" w:eastAsia="zh-CN"/>
        </w:rPr>
        <w:t>日</w:t>
      </w:r>
      <w:r>
        <w:rPr>
          <w:rFonts w:hint="eastAsia" w:ascii="Times New Roman" w:hAnsi="Times New Roman" w:eastAsia="仿宋_GB2312" w:cs="Times New Roman"/>
          <w:color w:val="auto"/>
          <w:sz w:val="32"/>
          <w:highlight w:val="none"/>
          <w:lang w:val="en-US" w:eastAsia="zh-CN"/>
        </w:rPr>
        <w:t>。</w:t>
      </w:r>
    </w:p>
    <w:bookmarkEnd w:id="0"/>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六、办理时限</w:t>
      </w:r>
    </w:p>
    <w:p>
      <w:pPr>
        <w:keepNext w:val="0"/>
        <w:keepLines w:val="0"/>
        <w:pageBreakBefore w:val="0"/>
        <w:kinsoku/>
        <w:overflowPunct/>
        <w:topLinePunct w:val="0"/>
        <w:autoSpaceDE/>
        <w:autoSpaceDN/>
        <w:bidi w:val="0"/>
        <w:adjustRightInd/>
        <w:snapToGrid w:val="0"/>
        <w:spacing w:line="560" w:lineRule="exact"/>
        <w:ind w:firstLine="64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申报截止后</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25</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个工作日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七</w:t>
      </w: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、办事窗口</w:t>
      </w: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及政策咨询</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lang w:val="en-US" w:eastAsia="zh-CN"/>
        </w:rPr>
      </w:pPr>
      <w:r>
        <w:rPr>
          <w:rFonts w:hint="eastAsia" w:ascii="Times New Roman" w:hAnsi="Times New Roman" w:eastAsia="仿宋_GB2312" w:cs="Times New Roman"/>
          <w:color w:val="auto"/>
          <w:sz w:val="32"/>
          <w:lang w:val="en-US" w:eastAsia="zh-CN"/>
        </w:rPr>
        <w:t>1.拟申报的批发零售业</w:t>
      </w:r>
      <w:r>
        <w:rPr>
          <w:rFonts w:hint="eastAsia" w:ascii="Times New Roman" w:hAnsi="Times New Roman" w:eastAsia="仿宋_GB2312" w:cs="Times New Roman"/>
          <w:color w:val="auto"/>
          <w:sz w:val="32"/>
          <w:lang w:eastAsia="zh-CN"/>
        </w:rPr>
        <w:t>企业及产业活动单位，咨询联系电话：</w:t>
      </w:r>
      <w:r>
        <w:rPr>
          <w:rFonts w:hint="eastAsia" w:ascii="Times New Roman" w:hAnsi="Times New Roman" w:eastAsia="仿宋_GB2312" w:cs="Times New Roman"/>
          <w:color w:val="auto"/>
          <w:sz w:val="32"/>
          <w:lang w:val="en-US" w:eastAsia="zh-CN"/>
        </w:rPr>
        <w:t>38622962，地址：天河区天府路1号2号楼615室，邮编：510000；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仿宋_GB2312" w:cs="Times New Roman"/>
          <w:color w:val="auto"/>
          <w:sz w:val="32"/>
          <w:highlight w:val="none"/>
          <w:lang w:val="en-US" w:eastAsia="zh-CN"/>
        </w:rPr>
        <w:t>2.拟申报的住宿餐饮业企业及产业活动单位，咨询</w:t>
      </w:r>
      <w:r>
        <w:rPr>
          <w:rFonts w:hint="default" w:ascii="Times New Roman" w:hAnsi="Times New Roman" w:eastAsia="仿宋_GB2312" w:cs="Times New Roman"/>
          <w:color w:val="auto"/>
          <w:sz w:val="32"/>
          <w:highlight w:val="none"/>
          <w:lang w:val="en-US" w:eastAsia="zh-CN"/>
        </w:rPr>
        <w:t>联系电话：38623718，地址：天河区天府路1号2号楼606室，邮编：510000</w:t>
      </w:r>
      <w:r>
        <w:rPr>
          <w:rFonts w:hint="eastAsia" w:ascii="Times New Roman" w:hAnsi="Times New Roman" w:eastAsia="仿宋_GB2312" w:cs="Times New Roman"/>
          <w:color w:val="auto"/>
          <w:sz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3.</w:t>
      </w:r>
      <w:r>
        <w:rPr>
          <w:rFonts w:hint="eastAsia" w:ascii="Times New Roman" w:hAnsi="Times New Roman" w:eastAsia="仿宋_GB2312" w:cs="Times New Roman"/>
          <w:color w:val="auto"/>
          <w:sz w:val="32"/>
          <w:highlight w:val="none"/>
          <w:lang w:val="en-US" w:eastAsia="zh-CN"/>
        </w:rPr>
        <w:t>拟申报的</w:t>
      </w:r>
      <w:r>
        <w:rPr>
          <w:rFonts w:hint="default" w:ascii="Times New Roman" w:hAnsi="Times New Roman" w:eastAsia="仿宋_GB2312" w:cs="Times New Roman"/>
          <w:color w:val="auto"/>
          <w:sz w:val="32"/>
          <w:highlight w:val="none"/>
          <w:lang w:val="en-US" w:eastAsia="zh-CN"/>
        </w:rPr>
        <w:t>商贸载体</w:t>
      </w:r>
      <w:r>
        <w:rPr>
          <w:rFonts w:hint="eastAsia" w:ascii="Times New Roman" w:hAnsi="Times New Roman" w:eastAsia="仿宋_GB2312" w:cs="Times New Roman"/>
          <w:color w:val="auto"/>
          <w:sz w:val="32"/>
          <w:highlight w:val="none"/>
          <w:lang w:val="en-US" w:eastAsia="zh-CN"/>
        </w:rPr>
        <w:t>运营方，咨询</w:t>
      </w:r>
      <w:r>
        <w:rPr>
          <w:rFonts w:hint="default" w:ascii="Times New Roman" w:hAnsi="Times New Roman" w:eastAsia="仿宋_GB2312" w:cs="Times New Roman"/>
          <w:color w:val="auto"/>
          <w:sz w:val="32"/>
          <w:highlight w:val="none"/>
          <w:lang w:val="en-US" w:eastAsia="zh-CN"/>
        </w:rPr>
        <w:t>联系电话：3862</w:t>
      </w:r>
      <w:r>
        <w:rPr>
          <w:rFonts w:hint="eastAsia" w:ascii="Times New Roman" w:hAnsi="Times New Roman" w:eastAsia="仿宋_GB2312" w:cs="Times New Roman"/>
          <w:color w:val="auto"/>
          <w:sz w:val="32"/>
          <w:highlight w:val="none"/>
          <w:lang w:val="en-US" w:eastAsia="zh-CN"/>
        </w:rPr>
        <w:t>3718</w:t>
      </w:r>
      <w:r>
        <w:rPr>
          <w:rFonts w:hint="default" w:ascii="Times New Roman" w:hAnsi="Times New Roman" w:eastAsia="仿宋_GB2312" w:cs="Times New Roman"/>
          <w:color w:val="auto"/>
          <w:sz w:val="32"/>
          <w:highlight w:val="none"/>
          <w:lang w:val="en-US" w:eastAsia="zh-CN"/>
        </w:rPr>
        <w:t>，地址：天河区天府路1号2号楼</w:t>
      </w:r>
      <w:r>
        <w:rPr>
          <w:rFonts w:hint="eastAsia" w:ascii="Times New Roman" w:hAnsi="Times New Roman" w:eastAsia="仿宋_GB2312" w:cs="Times New Roman"/>
          <w:color w:val="auto"/>
          <w:sz w:val="32"/>
          <w:highlight w:val="none"/>
          <w:lang w:val="en-US" w:eastAsia="zh-CN"/>
        </w:rPr>
        <w:t>614</w:t>
      </w:r>
      <w:r>
        <w:rPr>
          <w:rFonts w:hint="default" w:ascii="Times New Roman" w:hAnsi="Times New Roman" w:eastAsia="仿宋_GB2312" w:cs="Times New Roman"/>
          <w:color w:val="auto"/>
          <w:sz w:val="32"/>
          <w:highlight w:val="none"/>
          <w:lang w:val="en-US" w:eastAsia="zh-CN"/>
        </w:rPr>
        <w:t>室，邮编：510000</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auto"/>
          <w:sz w:val="32"/>
          <w:highlight w:val="none"/>
          <w:lang w:val="en-US" w:eastAsia="zh-CN"/>
        </w:rPr>
        <w:t>支持全流程网上办理</w:t>
      </w:r>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rPr>
        <w:t>公示期间拟获奖企业将纸质材料报送至区商务金融局</w:t>
      </w:r>
    </w:p>
    <w:p>
      <w:pPr>
        <w:keepNext w:val="0"/>
        <w:keepLines w:val="0"/>
        <w:pageBreakBefore w:val="0"/>
        <w:kinsoku/>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eastAsia="zh-CN"/>
          <w14:textFill>
            <w14:solidFill>
              <w14:schemeClr w14:val="tx1"/>
            </w14:solidFill>
          </w14:textFill>
        </w:rPr>
      </w:pPr>
      <w:r>
        <w:rPr>
          <w:rFonts w:hint="eastAsia" w:ascii="Times New Roman" w:hAnsi="Times New Roman" w:eastAsia="黑体" w:cs="Times New Roman"/>
          <w:color w:val="000000" w:themeColor="text1"/>
          <w:sz w:val="32"/>
          <w:highlight w:val="none"/>
          <w:lang w:eastAsia="zh-CN"/>
          <w14:textFill>
            <w14:solidFill>
              <w14:schemeClr w14:val="tx1"/>
            </w14:solidFill>
          </w14:textFill>
        </w:rPr>
        <w:t>八</w:t>
      </w:r>
      <w:r>
        <w:rPr>
          <w:rFonts w:hint="default" w:ascii="Times New Roman" w:hAnsi="Times New Roman" w:eastAsia="黑体" w:cs="Times New Roman"/>
          <w:color w:val="000000" w:themeColor="text1"/>
          <w:sz w:val="32"/>
          <w:highlight w:val="none"/>
          <w:lang w:eastAsia="zh-CN"/>
          <w14:textFill>
            <w14:solidFill>
              <w14:schemeClr w14:val="tx1"/>
            </w14:solidFill>
          </w14:textFill>
        </w:rPr>
        <w:t>、</w:t>
      </w:r>
      <w:r>
        <w:rPr>
          <w:rFonts w:hint="eastAsia" w:ascii="Times New Roman" w:hAnsi="Times New Roman" w:eastAsia="黑体" w:cs="Times New Roman"/>
          <w:color w:val="000000" w:themeColor="text1"/>
          <w:sz w:val="32"/>
          <w:highlight w:val="none"/>
          <w:lang w:eastAsia="zh-CN"/>
          <w14:textFill>
            <w14:solidFill>
              <w14:schemeClr w14:val="tx1"/>
            </w14:solidFill>
          </w14:textFill>
        </w:rPr>
        <w:t>政策依据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《广州市天河区人民政府关于印发天河区推动经济高质量发展若干政策意见的通知》（穗天府规〔2020〕3号）</w:t>
      </w:r>
      <w:r>
        <w:rPr>
          <w:rFonts w:hint="eastAsia"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黑体" w:cs="Times New Roman"/>
          <w:color w:val="auto"/>
          <w:sz w:val="32"/>
          <w:highlight w:val="none"/>
          <w:lang w:val="en-US" w:eastAsia="zh-CN"/>
        </w:rPr>
        <w:t>九</w:t>
      </w:r>
      <w:r>
        <w:rPr>
          <w:rFonts w:hint="default" w:ascii="Times New Roman" w:hAnsi="Times New Roman" w:eastAsia="黑体" w:cs="Times New Roman"/>
          <w:color w:val="auto"/>
          <w:sz w:val="32"/>
          <w:highlight w:val="none"/>
          <w:lang w:val="en-US" w:eastAsia="zh-CN"/>
        </w:rPr>
        <w:t>、常见问题说明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（一）名词解释</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b w:val="0"/>
          <w:bCs w:val="0"/>
          <w:color w:val="auto"/>
          <w:sz w:val="32"/>
          <w:highlight w:val="none"/>
          <w:lang w:val="en-US" w:eastAsia="zh-CN"/>
        </w:rPr>
      </w:pPr>
      <w:r>
        <w:rPr>
          <w:rFonts w:hint="eastAsia" w:ascii="Times New Roman" w:hAnsi="Times New Roman" w:eastAsia="楷体" w:cs="Times New Roman"/>
          <w:color w:val="auto"/>
          <w:sz w:val="32"/>
          <w:highlight w:val="none"/>
          <w:lang w:val="en-US" w:eastAsia="zh-CN"/>
        </w:rPr>
        <w:t>1.</w:t>
      </w:r>
      <w:r>
        <w:rPr>
          <w:rFonts w:hint="default" w:ascii="Times New Roman" w:hAnsi="Times New Roman" w:eastAsia="楷体" w:cs="Times New Roman"/>
          <w:color w:val="auto"/>
          <w:sz w:val="32"/>
          <w:highlight w:val="none"/>
          <w:lang w:val="en-US" w:eastAsia="zh-CN"/>
        </w:rPr>
        <w:t>视同独立法人</w:t>
      </w:r>
      <w:r>
        <w:rPr>
          <w:rFonts w:hint="eastAsia" w:ascii="Times New Roman" w:hAnsi="Times New Roman" w:eastAsia="楷体" w:cs="Times New Roman"/>
          <w:color w:val="auto"/>
          <w:sz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经国家统计局认可为可视同法人单位处理的法人单位下属跨省的分支机</w:t>
      </w:r>
      <w:r>
        <w:rPr>
          <w:rFonts w:hint="default" w:ascii="Times New Roman" w:hAnsi="Times New Roman" w:eastAsia="仿宋_GB2312" w:cs="Times New Roman"/>
          <w:b w:val="0"/>
          <w:bCs w:val="0"/>
          <w:color w:val="auto"/>
          <w:sz w:val="32"/>
          <w:highlight w:val="none"/>
          <w:lang w:val="en-US" w:eastAsia="zh-CN"/>
        </w:rPr>
        <w:t>构。</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b w:val="0"/>
          <w:bCs w:val="0"/>
          <w:color w:val="auto"/>
          <w:sz w:val="32"/>
          <w:highlight w:val="none"/>
          <w:lang w:val="en-US" w:eastAsia="zh-CN"/>
        </w:rPr>
        <w:t>2.</w:t>
      </w:r>
      <w:r>
        <w:rPr>
          <w:rFonts w:hint="eastAsia" w:ascii="楷体" w:hAnsi="楷体" w:eastAsia="楷体" w:cs="楷体"/>
          <w:color w:val="auto"/>
          <w:sz w:val="32"/>
          <w:highlight w:val="none"/>
          <w:lang w:val="en-US" w:eastAsia="zh-CN"/>
        </w:rPr>
        <w:t>产业活动单位：</w:t>
      </w:r>
      <w:r>
        <w:rPr>
          <w:rFonts w:hint="eastAsia" w:ascii="Times New Roman" w:hAnsi="Times New Roman" w:eastAsia="仿宋_GB2312" w:cs="Times New Roman"/>
          <w:color w:val="auto"/>
          <w:kern w:val="0"/>
          <w:sz w:val="32"/>
          <w:szCs w:val="32"/>
          <w:highlight w:val="none"/>
          <w:lang w:val="en-US" w:eastAsia="zh-CN"/>
        </w:rPr>
        <w:t>指经过法定程序批准建立的、不能独立承担民事责任的单位，包括：由各级</w:t>
      </w:r>
      <w:r>
        <w:rPr>
          <w:rFonts w:hint="eastAsia" w:ascii="Times New Roman" w:hAnsi="Times New Roman" w:eastAsia="仿宋_GB2312" w:cs="Times New Roman"/>
          <w:color w:val="auto"/>
          <w:kern w:val="0"/>
          <w:sz w:val="32"/>
          <w:szCs w:val="32"/>
          <w:highlight w:val="none"/>
          <w:lang w:val="en-US" w:eastAsia="zh-CN"/>
        </w:rPr>
        <w:fldChar w:fldCharType="begin"/>
      </w:r>
      <w:r>
        <w:rPr>
          <w:rFonts w:hint="eastAsia" w:ascii="Times New Roman" w:hAnsi="Times New Roman" w:eastAsia="仿宋_GB2312" w:cs="Times New Roman"/>
          <w:color w:val="auto"/>
          <w:kern w:val="0"/>
          <w:sz w:val="32"/>
          <w:szCs w:val="32"/>
          <w:highlight w:val="none"/>
          <w:lang w:val="en-US" w:eastAsia="zh-CN"/>
        </w:rPr>
        <w:instrText xml:space="preserve"> HYPERLINK "https://baike.baidu.com/item/%E5%B7%A5%E5%95%86%E8%A1%8C%E6%94%BF%E7%AE%A1%E7%90%86%E6%9C%BA%E5%85%B3" \t "https://baike.baidu.com/item/%E4%BA%A7%E4%B8%9A%E6%B4%BB%E5%8A%A8%E5%8D%95%E4%BD%8D/_blank" </w:instrText>
      </w:r>
      <w:r>
        <w:rPr>
          <w:rFonts w:hint="eastAsia" w:ascii="Times New Roman" w:hAnsi="Times New Roman" w:eastAsia="仿宋_GB2312" w:cs="Times New Roman"/>
          <w:color w:val="auto"/>
          <w:kern w:val="0"/>
          <w:sz w:val="32"/>
          <w:szCs w:val="32"/>
          <w:highlight w:val="none"/>
          <w:lang w:val="en-US" w:eastAsia="zh-CN"/>
        </w:rPr>
        <w:fldChar w:fldCharType="separate"/>
      </w:r>
      <w:r>
        <w:rPr>
          <w:rFonts w:hint="eastAsia" w:ascii="Times New Roman" w:hAnsi="Times New Roman" w:eastAsia="仿宋_GB2312" w:cs="Times New Roman"/>
          <w:color w:val="auto"/>
          <w:kern w:val="0"/>
          <w:sz w:val="32"/>
          <w:szCs w:val="32"/>
          <w:highlight w:val="none"/>
          <w:lang w:val="en-US" w:eastAsia="zh-CN"/>
        </w:rPr>
        <w:t>工商行政管理机关</w:t>
      </w:r>
      <w:r>
        <w:rPr>
          <w:rFonts w:hint="eastAsia" w:ascii="Times New Roman" w:hAnsi="Times New Roman" w:eastAsia="仿宋_GB2312" w:cs="Times New Roman"/>
          <w:color w:val="auto"/>
          <w:kern w:val="0"/>
          <w:sz w:val="32"/>
          <w:szCs w:val="32"/>
          <w:highlight w:val="none"/>
          <w:lang w:val="en-US" w:eastAsia="zh-CN"/>
        </w:rPr>
        <w:fldChar w:fldCharType="end"/>
      </w:r>
      <w:r>
        <w:rPr>
          <w:rFonts w:hint="eastAsia" w:ascii="Times New Roman" w:hAnsi="Times New Roman" w:eastAsia="仿宋_GB2312" w:cs="Times New Roman"/>
          <w:color w:val="auto"/>
          <w:kern w:val="0"/>
          <w:sz w:val="32"/>
          <w:szCs w:val="32"/>
          <w:highlight w:val="none"/>
          <w:lang w:val="en-US" w:eastAsia="zh-CN"/>
        </w:rPr>
        <w:t>核准登记，领取《营业执照》的分支机构或经营单位；由各级登记主管机关备案，或依据相关法律法规由各级主管部门批准建立的事业单位分支机构和社会团体分支机构。</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w:t>
      </w:r>
      <w:r>
        <w:rPr>
          <w:rFonts w:hint="eastAsia" w:ascii="楷体" w:hAnsi="楷体" w:eastAsia="楷体" w:cs="楷体"/>
          <w:color w:val="auto"/>
          <w:sz w:val="32"/>
          <w:highlight w:val="none"/>
          <w:lang w:val="en-US" w:eastAsia="zh-CN"/>
        </w:rPr>
        <w:t>商贸载体</w:t>
      </w:r>
      <w:r>
        <w:rPr>
          <w:rFonts w:hint="eastAsia" w:ascii="Times New Roman" w:hAnsi="Times New Roman" w:eastAsia="仿宋_GB2312" w:cs="Times New Roman"/>
          <w:color w:val="auto"/>
          <w:kern w:val="0"/>
          <w:sz w:val="32"/>
          <w:szCs w:val="32"/>
          <w:highlight w:val="none"/>
          <w:lang w:val="en-US" w:eastAsia="zh-CN"/>
        </w:rPr>
        <w:t>：即大型商业综合体，指建筑面积5万平方米(含)以上的集购物、住宿、展览、餐饮、文娱、交通枢纽等两种或两种以上功能于一体的以零售为主的城市商业综合体，不包括住宅和写字楼部分的建筑面积。</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楷体" w:cs="Times New Roman"/>
          <w:color w:val="auto"/>
          <w:sz w:val="32"/>
          <w:szCs w:val="24"/>
          <w:highlight w:val="none"/>
          <w:u w:val="none"/>
          <w:shd w:val="clear" w:fill="auto"/>
          <w:lang w:val="en-US" w:eastAsia="zh-CN"/>
        </w:rPr>
        <w:t>4.</w:t>
      </w:r>
      <w:r>
        <w:rPr>
          <w:rFonts w:hint="default" w:ascii="Times New Roman" w:hAnsi="Times New Roman" w:eastAsia="楷体" w:cs="Times New Roman"/>
          <w:color w:val="auto"/>
          <w:sz w:val="32"/>
          <w:szCs w:val="24"/>
          <w:highlight w:val="none"/>
          <w:u w:val="none"/>
          <w:shd w:val="clear" w:fill="auto"/>
          <w:lang w:val="en-US" w:eastAsia="zh-CN"/>
        </w:rPr>
        <w:t>商贸载体运营公司</w:t>
      </w:r>
      <w:r>
        <w:rPr>
          <w:rFonts w:hint="eastAsia" w:ascii="Times New Roman" w:hAnsi="Times New Roman" w:eastAsia="仿宋_GB2312" w:cs="Times New Roman"/>
          <w:b w:val="0"/>
          <w:bCs w:val="0"/>
          <w:color w:val="auto"/>
          <w:sz w:val="32"/>
          <w:highlight w:val="none"/>
          <w:lang w:val="en-US" w:eastAsia="zh-CN"/>
        </w:rPr>
        <w:t>：</w:t>
      </w:r>
      <w:r>
        <w:rPr>
          <w:rFonts w:hint="default" w:ascii="Times New Roman" w:hAnsi="Times New Roman" w:eastAsia="仿宋_GB2312" w:cs="Times New Roman"/>
          <w:b w:val="0"/>
          <w:bCs w:val="0"/>
          <w:color w:val="auto"/>
          <w:sz w:val="32"/>
          <w:highlight w:val="none"/>
          <w:lang w:val="en-US" w:eastAsia="zh-CN"/>
        </w:rPr>
        <w:t>指该商贸载体实际经营管理方。</w:t>
      </w:r>
    </w:p>
    <w:p>
      <w:pPr>
        <w:keepNext w:val="0"/>
        <w:keepLines w:val="0"/>
        <w:pageBreakBefore w:val="0"/>
        <w:numPr>
          <w:ilvl w:val="0"/>
          <w:numId w:val="0"/>
        </w:numPr>
        <w:kinsoku/>
        <w:overflowPunct/>
        <w:topLinePunct w:val="0"/>
        <w:autoSpaceDE/>
        <w:autoSpaceDN/>
        <w:bidi w:val="0"/>
        <w:adjustRightInd/>
        <w:spacing w:line="560" w:lineRule="exact"/>
        <w:ind w:firstLine="640" w:firstLineChars="200"/>
        <w:jc w:val="both"/>
        <w:textAlignment w:val="auto"/>
        <w:rPr>
          <w:rFonts w:hint="default" w:ascii="楷体" w:hAnsi="楷体" w:eastAsia="楷体" w:cs="楷体"/>
          <w:color w:val="auto"/>
          <w:sz w:val="32"/>
          <w:highlight w:val="none"/>
          <w:lang w:val="en-US" w:eastAsia="zh-CN"/>
        </w:rPr>
      </w:pPr>
      <w:r>
        <w:rPr>
          <w:rFonts w:hint="eastAsia" w:ascii="方正楷体_GBK" w:hAnsi="方正楷体_GBK" w:eastAsia="方正楷体_GBK" w:cs="方正楷体_GBK"/>
          <w:color w:val="auto"/>
          <w:sz w:val="32"/>
          <w:highlight w:val="none"/>
          <w:lang w:val="en-US" w:eastAsia="zh-CN"/>
        </w:rPr>
        <w:t>5.财务统一结算：</w:t>
      </w:r>
      <w:r>
        <w:rPr>
          <w:rFonts w:hint="eastAsia" w:ascii="Times New Roman" w:hAnsi="Times New Roman" w:eastAsia="仿宋_GB2312" w:cs="Times New Roman"/>
          <w:color w:val="auto"/>
          <w:kern w:val="0"/>
          <w:sz w:val="32"/>
          <w:szCs w:val="32"/>
          <w:highlight w:val="none"/>
          <w:lang w:val="en-US" w:eastAsia="zh-CN" w:bidi="ar"/>
        </w:rPr>
        <w:t>指大型商业综合体内所有商户的销售数据由核算收支方（商业综合体）进行统计，销售收入计入商业综合体的营业收入，销售成本计入商业综合体的营业成本，并由商业综合体统一纳税。</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（二）有下列情况之一的，本项资金不予</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w:t>
      </w:r>
      <w:r>
        <w:rPr>
          <w:rFonts w:hint="eastAsia" w:ascii="Times New Roman" w:hAnsi="Times New Roman" w:eastAsia="仿宋_GB2312" w:cs="Times New Roman"/>
          <w:color w:val="auto"/>
          <w:kern w:val="0"/>
          <w:sz w:val="32"/>
          <w:szCs w:val="32"/>
          <w:highlight w:val="none"/>
          <w:lang w:val="en-US" w:eastAsia="zh-CN"/>
        </w:rPr>
        <w:t>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val="en-US" w:eastAsia="zh-CN"/>
        </w:rPr>
        <w:t>.就同一事项已获得天河区政府“一企一策”政策扶持的</w:t>
      </w:r>
      <w:r>
        <w:rPr>
          <w:rFonts w:hint="eastAsia" w:ascii="Times New Roman" w:hAnsi="Times New Roman" w:eastAsia="仿宋_GB2312" w:cs="Times New Roman"/>
          <w:color w:val="auto"/>
          <w:kern w:val="0"/>
          <w:sz w:val="32"/>
          <w:szCs w:val="32"/>
          <w:highlight w:val="none"/>
          <w:lang w:val="en-US" w:eastAsia="zh-CN"/>
        </w:rPr>
        <w:t>（协议中注明可享受本区普惠性政策的除外）；</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5.2021年及以前年度已获《</w:t>
      </w:r>
      <w:r>
        <w:rPr>
          <w:rFonts w:hint="eastAsia" w:ascii="Times New Roman" w:hAnsi="Times New Roman" w:eastAsia="仿宋_GB2312" w:cs="Times New Roman"/>
          <w:color w:val="auto"/>
          <w:kern w:val="0"/>
          <w:sz w:val="32"/>
          <w:szCs w:val="32"/>
          <w:highlight w:val="none"/>
          <w:lang w:val="en-US" w:eastAsia="zh-CN"/>
        </w:rPr>
        <w:fldChar w:fldCharType="begin"/>
      </w:r>
      <w:r>
        <w:rPr>
          <w:rFonts w:hint="eastAsia" w:ascii="Times New Roman" w:hAnsi="Times New Roman" w:eastAsia="仿宋_GB2312" w:cs="Times New Roman"/>
          <w:color w:val="auto"/>
          <w:kern w:val="0"/>
          <w:sz w:val="32"/>
          <w:szCs w:val="32"/>
          <w:highlight w:val="none"/>
          <w:lang w:val="en-US" w:eastAsia="zh-CN"/>
        </w:rPr>
        <w:instrText xml:space="preserve"> HYPERLINK "http://www.thnet.gov.cn/ztzl/thqgzlfzxlzc/zcwj/content/post_5573390.html" \o "广州市天河区产业发展专项资金支持重点企业落户实施办法" </w:instrText>
      </w:r>
      <w:r>
        <w:rPr>
          <w:rFonts w:hint="eastAsia" w:ascii="Times New Roman" w:hAnsi="Times New Roman" w:eastAsia="仿宋_GB2312" w:cs="Times New Roman"/>
          <w:color w:val="auto"/>
          <w:kern w:val="0"/>
          <w:sz w:val="32"/>
          <w:szCs w:val="32"/>
          <w:highlight w:val="none"/>
          <w:lang w:val="en-US" w:eastAsia="zh-CN"/>
        </w:rPr>
        <w:fldChar w:fldCharType="separate"/>
      </w:r>
      <w:r>
        <w:rPr>
          <w:rFonts w:hint="eastAsia" w:ascii="Times New Roman" w:hAnsi="Times New Roman" w:eastAsia="仿宋_GB2312" w:cs="Times New Roman"/>
          <w:color w:val="auto"/>
          <w:kern w:val="0"/>
          <w:sz w:val="32"/>
          <w:szCs w:val="32"/>
          <w:highlight w:val="none"/>
          <w:lang w:val="en-US" w:eastAsia="zh-CN"/>
        </w:rPr>
        <w:t>广州市天河区产业发展专项资金支持重点企业落户实施办法</w:t>
      </w:r>
      <w:r>
        <w:rPr>
          <w:rFonts w:hint="eastAsia" w:ascii="Times New Roman" w:hAnsi="Times New Roman" w:eastAsia="仿宋_GB2312" w:cs="Times New Roman"/>
          <w:color w:val="auto"/>
          <w:kern w:val="0"/>
          <w:sz w:val="32"/>
          <w:szCs w:val="32"/>
          <w:highlight w:val="none"/>
          <w:lang w:val="en-US" w:eastAsia="zh-CN"/>
        </w:rPr>
        <w:fldChar w:fldCharType="end"/>
      </w:r>
      <w:r>
        <w:rPr>
          <w:rFonts w:hint="eastAsia" w:ascii="Times New Roman" w:hAnsi="Times New Roman" w:eastAsia="仿宋_GB2312" w:cs="Times New Roman"/>
          <w:color w:val="auto"/>
          <w:kern w:val="0"/>
          <w:sz w:val="32"/>
          <w:szCs w:val="32"/>
          <w:highlight w:val="none"/>
          <w:lang w:val="en-US" w:eastAsia="zh-CN"/>
        </w:rPr>
        <w:t>》支持的。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（三）其他说明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企业应积极配合区委区政府的工作。在项目申报或审核过程中，如区商务金融局认为需提供相关佐证材料，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将保留依法追究其法律责任的权利。申请本项目</w:t>
      </w:r>
      <w:r>
        <w:rPr>
          <w:rFonts w:hint="eastAsia" w:ascii="Times New Roman" w:hAnsi="Times New Roman" w:eastAsia="仿宋_GB2312" w:cs="Times New Roman"/>
          <w:color w:val="auto"/>
          <w:sz w:val="32"/>
          <w:szCs w:val="32"/>
          <w:highlight w:val="none"/>
          <w:lang w:val="en-US" w:eastAsia="zh-CN"/>
        </w:rPr>
        <w:t>的企业在享受扶持后，应承诺五年内不将注册登记地址迁出天河区，不改变在天河区原有的纳税纳统义务。如有违反应全额退回已获得的扶持资金。</w:t>
      </w:r>
    </w:p>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B501C"/>
    <w:rsid w:val="02186B5B"/>
    <w:rsid w:val="03A024E2"/>
    <w:rsid w:val="04765FD1"/>
    <w:rsid w:val="0512793F"/>
    <w:rsid w:val="057A7069"/>
    <w:rsid w:val="069B777A"/>
    <w:rsid w:val="07D34B7C"/>
    <w:rsid w:val="08397324"/>
    <w:rsid w:val="09614E6A"/>
    <w:rsid w:val="098E471E"/>
    <w:rsid w:val="09C54162"/>
    <w:rsid w:val="0AB96016"/>
    <w:rsid w:val="0B375949"/>
    <w:rsid w:val="0BB06E30"/>
    <w:rsid w:val="0BE054D1"/>
    <w:rsid w:val="0D6161FB"/>
    <w:rsid w:val="0D7402D5"/>
    <w:rsid w:val="0DD03141"/>
    <w:rsid w:val="0E034E8F"/>
    <w:rsid w:val="0EC668AD"/>
    <w:rsid w:val="1093518E"/>
    <w:rsid w:val="10E868FB"/>
    <w:rsid w:val="11132DDE"/>
    <w:rsid w:val="111D4088"/>
    <w:rsid w:val="111E4A8F"/>
    <w:rsid w:val="11D3432C"/>
    <w:rsid w:val="137C675F"/>
    <w:rsid w:val="13DC6EAA"/>
    <w:rsid w:val="13E602A5"/>
    <w:rsid w:val="14DC130F"/>
    <w:rsid w:val="14F01798"/>
    <w:rsid w:val="150778F4"/>
    <w:rsid w:val="15560308"/>
    <w:rsid w:val="15BD241D"/>
    <w:rsid w:val="15F46AC7"/>
    <w:rsid w:val="16E654E5"/>
    <w:rsid w:val="17080AE3"/>
    <w:rsid w:val="184E6303"/>
    <w:rsid w:val="18E07A0A"/>
    <w:rsid w:val="1A4F09B4"/>
    <w:rsid w:val="1AB760C2"/>
    <w:rsid w:val="1B527AFD"/>
    <w:rsid w:val="1B5F759B"/>
    <w:rsid w:val="1B794DFA"/>
    <w:rsid w:val="1BCF002B"/>
    <w:rsid w:val="1C286255"/>
    <w:rsid w:val="1CB73365"/>
    <w:rsid w:val="1CED7011"/>
    <w:rsid w:val="1D4A3568"/>
    <w:rsid w:val="1EDF44DD"/>
    <w:rsid w:val="1EF94490"/>
    <w:rsid w:val="1F0C2CA5"/>
    <w:rsid w:val="1F3271D4"/>
    <w:rsid w:val="1F696895"/>
    <w:rsid w:val="204B5F3D"/>
    <w:rsid w:val="21473C10"/>
    <w:rsid w:val="214C3E5B"/>
    <w:rsid w:val="21AC3851"/>
    <w:rsid w:val="21D71B9C"/>
    <w:rsid w:val="21DF3BA6"/>
    <w:rsid w:val="220E4E38"/>
    <w:rsid w:val="22CE653A"/>
    <w:rsid w:val="23402B49"/>
    <w:rsid w:val="2425430C"/>
    <w:rsid w:val="245603A3"/>
    <w:rsid w:val="24DA5C46"/>
    <w:rsid w:val="2645462C"/>
    <w:rsid w:val="26541D6E"/>
    <w:rsid w:val="27EF6D5C"/>
    <w:rsid w:val="29CC6595"/>
    <w:rsid w:val="29D277A8"/>
    <w:rsid w:val="2A7C57CB"/>
    <w:rsid w:val="2B497E37"/>
    <w:rsid w:val="2B7D759B"/>
    <w:rsid w:val="2D2645A8"/>
    <w:rsid w:val="2D3835D9"/>
    <w:rsid w:val="2E3A0C2C"/>
    <w:rsid w:val="2EF125E6"/>
    <w:rsid w:val="2FBD17E0"/>
    <w:rsid w:val="307B0CE3"/>
    <w:rsid w:val="30C74E23"/>
    <w:rsid w:val="30DC7FB3"/>
    <w:rsid w:val="31C76A1C"/>
    <w:rsid w:val="325B0AB7"/>
    <w:rsid w:val="32865942"/>
    <w:rsid w:val="328C52E9"/>
    <w:rsid w:val="330D1E17"/>
    <w:rsid w:val="33885662"/>
    <w:rsid w:val="349168AE"/>
    <w:rsid w:val="3619780E"/>
    <w:rsid w:val="36E6250D"/>
    <w:rsid w:val="372E0AFB"/>
    <w:rsid w:val="3841792A"/>
    <w:rsid w:val="38A968D7"/>
    <w:rsid w:val="38BA5237"/>
    <w:rsid w:val="39696F33"/>
    <w:rsid w:val="3A9F451F"/>
    <w:rsid w:val="3DBA1659"/>
    <w:rsid w:val="3E5F27F5"/>
    <w:rsid w:val="3EBC5D85"/>
    <w:rsid w:val="3F013CA3"/>
    <w:rsid w:val="43AB10E3"/>
    <w:rsid w:val="448864A8"/>
    <w:rsid w:val="44BE3DE1"/>
    <w:rsid w:val="460A5CDB"/>
    <w:rsid w:val="46691AFB"/>
    <w:rsid w:val="466C3608"/>
    <w:rsid w:val="46B92D3D"/>
    <w:rsid w:val="474073BF"/>
    <w:rsid w:val="47ED2AAD"/>
    <w:rsid w:val="484F44BA"/>
    <w:rsid w:val="486424CC"/>
    <w:rsid w:val="48D24076"/>
    <w:rsid w:val="498D6104"/>
    <w:rsid w:val="4A5740D6"/>
    <w:rsid w:val="4C833D65"/>
    <w:rsid w:val="4D110D1B"/>
    <w:rsid w:val="4E931B8C"/>
    <w:rsid w:val="4EA04DC7"/>
    <w:rsid w:val="4FF4136F"/>
    <w:rsid w:val="50D1015A"/>
    <w:rsid w:val="50D938B2"/>
    <w:rsid w:val="50EA6F77"/>
    <w:rsid w:val="53C80003"/>
    <w:rsid w:val="55F761E1"/>
    <w:rsid w:val="561C7713"/>
    <w:rsid w:val="57BC33F0"/>
    <w:rsid w:val="57C54016"/>
    <w:rsid w:val="58B812B9"/>
    <w:rsid w:val="592C0B2C"/>
    <w:rsid w:val="59FF70F7"/>
    <w:rsid w:val="5AF77728"/>
    <w:rsid w:val="5BAD1CB1"/>
    <w:rsid w:val="5DCB3C84"/>
    <w:rsid w:val="5E385C6C"/>
    <w:rsid w:val="5E904A12"/>
    <w:rsid w:val="60234D91"/>
    <w:rsid w:val="604F1954"/>
    <w:rsid w:val="611A22D7"/>
    <w:rsid w:val="616126EA"/>
    <w:rsid w:val="62555273"/>
    <w:rsid w:val="625F281A"/>
    <w:rsid w:val="626D2921"/>
    <w:rsid w:val="63287486"/>
    <w:rsid w:val="652D3174"/>
    <w:rsid w:val="6543626D"/>
    <w:rsid w:val="65B464FE"/>
    <w:rsid w:val="65E95A6E"/>
    <w:rsid w:val="66674573"/>
    <w:rsid w:val="67C100DA"/>
    <w:rsid w:val="68EA0ECB"/>
    <w:rsid w:val="69B305EE"/>
    <w:rsid w:val="6A3D285C"/>
    <w:rsid w:val="6A9C095F"/>
    <w:rsid w:val="6A9F6A25"/>
    <w:rsid w:val="6AAD3D02"/>
    <w:rsid w:val="6AFB38F0"/>
    <w:rsid w:val="6B1C4331"/>
    <w:rsid w:val="6BE16598"/>
    <w:rsid w:val="6D2206F1"/>
    <w:rsid w:val="6DB70C2C"/>
    <w:rsid w:val="6E11711B"/>
    <w:rsid w:val="6E2E1B98"/>
    <w:rsid w:val="6E5331B0"/>
    <w:rsid w:val="6EC7748E"/>
    <w:rsid w:val="6F14109B"/>
    <w:rsid w:val="6FD4538A"/>
    <w:rsid w:val="71AC1979"/>
    <w:rsid w:val="71F371A2"/>
    <w:rsid w:val="73164EF0"/>
    <w:rsid w:val="7507622C"/>
    <w:rsid w:val="76003748"/>
    <w:rsid w:val="76177085"/>
    <w:rsid w:val="770F6624"/>
    <w:rsid w:val="77A5246D"/>
    <w:rsid w:val="77BF5EA9"/>
    <w:rsid w:val="77E845EE"/>
    <w:rsid w:val="77EC2674"/>
    <w:rsid w:val="787630BA"/>
    <w:rsid w:val="7B36028C"/>
    <w:rsid w:val="7B8A1F4C"/>
    <w:rsid w:val="7C855097"/>
    <w:rsid w:val="7FD12D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2022-07-05T01:07:00Z</cp:lastPrinted>
  <dcterms:modified xsi:type="dcterms:W3CDTF">2022-07-08T06:28:02Z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